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1BC6CE14" w14:textId="34DC84B2" w:rsidR="000D088C" w:rsidRPr="00D038FB" w:rsidRDefault="000D088C" w:rsidP="00CC2000">
      <w:pPr>
        <w:pStyle w:val="FLSHeading1Bold"/>
      </w:pPr>
      <w:r>
        <w:t>Land at:</w:t>
      </w:r>
    </w:p>
    <w:p w14:paraId="5D32DEE9" w14:textId="77777777" w:rsidR="00EC4D34" w:rsidRPr="000D088C" w:rsidRDefault="00EC4D34" w:rsidP="00EC4D34">
      <w:pPr>
        <w:pStyle w:val="FLSCoverBody"/>
      </w:pPr>
      <w:proofErr w:type="spellStart"/>
      <w:r>
        <w:t>Shalloch</w:t>
      </w:r>
      <w:proofErr w:type="spellEnd"/>
      <w:r>
        <w:t xml:space="preserve"> on </w:t>
      </w:r>
      <w:proofErr w:type="spellStart"/>
      <w:r>
        <w:t>Minnoch</w:t>
      </w:r>
      <w:proofErr w:type="spellEnd"/>
      <w:r>
        <w:t xml:space="preserve"> &amp; </w:t>
      </w:r>
      <w:proofErr w:type="spellStart"/>
      <w:r>
        <w:t>Craigenrae</w:t>
      </w:r>
      <w:proofErr w:type="spellEnd"/>
      <w:r>
        <w:t>, Galloway</w:t>
      </w:r>
    </w:p>
    <w:p w14:paraId="0412A3B0" w14:textId="4C3660F8" w:rsidR="00A93F56" w:rsidRPr="000D088C" w:rsidRDefault="00A93F56" w:rsidP="000D088C">
      <w:pPr>
        <w:pStyle w:val="FLSCoverBody"/>
      </w:pPr>
    </w:p>
    <w:p w14:paraId="5A1E4A43" w14:textId="77777777" w:rsidR="00A93F56" w:rsidRPr="00D038FB" w:rsidRDefault="00D52DA1" w:rsidP="00D038FB">
      <w:pPr>
        <w:pStyle w:val="FLSBody"/>
      </w:pPr>
      <w:r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ayments allied to advice and skills programmes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recognised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favour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41AF84D2" w:rsidR="006E59FE" w:rsidRPr="00BB063D" w:rsidRDefault="006E59FE" w:rsidP="00BB063D">
      <w:pPr>
        <w:pStyle w:val="FLSHeading2Bold"/>
        <w:rPr>
          <w:color w:val="6DB33F"/>
        </w:rPr>
      </w:pPr>
      <w:r w:rsidRPr="00E17947">
        <w:lastRenderedPageBreak/>
        <w:t>Land at</w:t>
      </w:r>
      <w:r w:rsidRPr="00E17947">
        <w:rPr>
          <w:color w:val="6DB33F"/>
        </w:rPr>
        <w:t xml:space="preserve"> </w:t>
      </w:r>
      <w:proofErr w:type="spellStart"/>
      <w:r w:rsidR="00EC4D34">
        <w:t>Shalloch</w:t>
      </w:r>
      <w:proofErr w:type="spellEnd"/>
      <w:r w:rsidR="00EC4D34">
        <w:t xml:space="preserve"> on </w:t>
      </w:r>
      <w:proofErr w:type="spellStart"/>
      <w:r w:rsidR="00EC4D34">
        <w:t>Minnoch</w:t>
      </w:r>
      <w:proofErr w:type="spellEnd"/>
      <w:r w:rsidR="00EC4D34">
        <w:t xml:space="preserve"> &amp; </w:t>
      </w:r>
      <w:proofErr w:type="spellStart"/>
      <w:r w:rsidR="00EC4D34">
        <w:t>Craigenrae</w:t>
      </w:r>
      <w:proofErr w:type="spellEnd"/>
    </w:p>
    <w:p w14:paraId="57570ABD" w14:textId="131D2F7A"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sidR="00EC4D34" w:rsidRPr="00EC4D34">
        <w:rPr>
          <w:b/>
          <w:bCs/>
          <w:lang w:eastAsia="en-GB"/>
        </w:rPr>
        <w:t xml:space="preserve"> </w:t>
      </w:r>
      <w:proofErr w:type="spellStart"/>
      <w:r w:rsidR="00EC4D34">
        <w:rPr>
          <w:b/>
          <w:bCs/>
          <w:lang w:eastAsia="en-GB"/>
        </w:rPr>
        <w:t>Shalloch</w:t>
      </w:r>
      <w:proofErr w:type="spellEnd"/>
      <w:r w:rsidR="00EC4D34">
        <w:rPr>
          <w:b/>
          <w:bCs/>
          <w:lang w:eastAsia="en-GB"/>
        </w:rPr>
        <w:t xml:space="preserve"> on </w:t>
      </w:r>
      <w:proofErr w:type="spellStart"/>
      <w:r w:rsidR="00EC4D34">
        <w:rPr>
          <w:b/>
          <w:bCs/>
          <w:lang w:eastAsia="en-GB"/>
        </w:rPr>
        <w:t>Minnoch</w:t>
      </w:r>
      <w:proofErr w:type="spellEnd"/>
      <w:r w:rsidR="00EC4D34">
        <w:rPr>
          <w:b/>
          <w:bCs/>
          <w:lang w:eastAsia="en-GB"/>
        </w:rPr>
        <w:t xml:space="preserve"> &amp; </w:t>
      </w:r>
      <w:proofErr w:type="spellStart"/>
      <w:r w:rsidR="00EC4D34">
        <w:rPr>
          <w:b/>
          <w:bCs/>
          <w:lang w:eastAsia="en-GB"/>
        </w:rPr>
        <w:t>Craigenrae</w:t>
      </w:r>
      <w:proofErr w:type="spellEnd"/>
      <w:r>
        <w:rPr>
          <w:lang w:eastAsia="en-GB"/>
        </w:rPr>
        <w:t xml:space="preserve"> </w:t>
      </w:r>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6155D62C" w14:textId="77777777" w:rsidR="00137DE3" w:rsidRDefault="00137DE3" w:rsidP="00BB063D">
      <w:pPr>
        <w:pStyle w:val="FLSBody"/>
        <w:rPr>
          <w:lang w:eastAsia="en-GB"/>
        </w:rPr>
      </w:pPr>
    </w:p>
    <w:p w14:paraId="7FBAB46B" w14:textId="77777777" w:rsidR="002D17CD" w:rsidRDefault="002D17CD" w:rsidP="002D17CD">
      <w:pPr>
        <w:pStyle w:val="FLSBody"/>
        <w:rPr>
          <w:lang w:eastAsia="en-GB"/>
        </w:rPr>
      </w:pPr>
      <w:r>
        <w:rPr>
          <w:lang w:eastAsia="en-GB"/>
        </w:rPr>
        <w:t>These areas were retained for grazing when the surrounding land was planted with trees approximately 50 years ago. These areas were originally retained for reasons of landscape and nature conservation. Many bird species are known to use the site, such as barn owls, kestrels and moorland waders through the winter. The two sites also have plant species which are of interest and have nature conservation value. Low intensity cattle grazing is desired to remove rank vegetation and keep the sward more open and varied. 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w:t>
      </w:r>
    </w:p>
    <w:p w14:paraId="38A8607C" w14:textId="77777777" w:rsidR="002D17CD" w:rsidRDefault="002D17CD" w:rsidP="002D17CD">
      <w:pPr>
        <w:pStyle w:val="FLSBody"/>
        <w:rPr>
          <w:lang w:eastAsia="en-GB"/>
        </w:rPr>
      </w:pPr>
    </w:p>
    <w:p w14:paraId="2E8A5961" w14:textId="77777777" w:rsidR="002D17CD" w:rsidRDefault="002D17CD" w:rsidP="002D17CD">
      <w:pPr>
        <w:pStyle w:val="FLSBody"/>
        <w:rPr>
          <w:lang w:eastAsia="en-GB"/>
        </w:rPr>
      </w:pPr>
      <w:r>
        <w:rPr>
          <w:lang w:eastAsia="en-GB"/>
        </w:rPr>
        <w:t xml:space="preserve">*Applicants should note that there is occasional use of a ruined building, adjacent to the site at </w:t>
      </w:r>
      <w:proofErr w:type="spellStart"/>
      <w:r>
        <w:rPr>
          <w:lang w:eastAsia="en-GB"/>
        </w:rPr>
        <w:t>Shalloch</w:t>
      </w:r>
      <w:proofErr w:type="spellEnd"/>
      <w:r>
        <w:rPr>
          <w:lang w:eastAsia="en-GB"/>
        </w:rPr>
        <w:t xml:space="preserve"> on </w:t>
      </w:r>
      <w:proofErr w:type="spellStart"/>
      <w:r>
        <w:rPr>
          <w:lang w:eastAsia="en-GB"/>
        </w:rPr>
        <w:t>Minnoch</w:t>
      </w:r>
      <w:proofErr w:type="spellEnd"/>
      <w:r>
        <w:rPr>
          <w:lang w:eastAsia="en-GB"/>
        </w:rPr>
        <w:t xml:space="preserve">, by the Ministry of </w:t>
      </w:r>
      <w:proofErr w:type="spellStart"/>
      <w:r>
        <w:rPr>
          <w:lang w:eastAsia="en-GB"/>
        </w:rPr>
        <w:t>Defence</w:t>
      </w:r>
      <w:proofErr w:type="spellEnd"/>
      <w:r>
        <w:rPr>
          <w:lang w:eastAsia="en-GB"/>
        </w:rPr>
        <w:t xml:space="preserve">. FLS is notified of any such use in advance. </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06898122" w14:textId="77777777" w:rsidR="004E08BF" w:rsidRDefault="006E59FE" w:rsidP="004E08BF">
      <w:pPr>
        <w:pStyle w:val="FLSBody"/>
        <w:rPr>
          <w:lang w:eastAsia="en-GB"/>
        </w:rPr>
      </w:pPr>
      <w:r w:rsidRPr="00147C4B">
        <w:rPr>
          <w:b/>
          <w:bCs/>
          <w:lang w:eastAsia="en-GB"/>
        </w:rPr>
        <w:t>Area:</w:t>
      </w:r>
      <w:r>
        <w:rPr>
          <w:lang w:eastAsia="en-GB"/>
        </w:rPr>
        <w:t xml:space="preserve"> </w:t>
      </w:r>
      <w:r w:rsidR="004E08BF">
        <w:rPr>
          <w:lang w:eastAsia="en-GB"/>
        </w:rPr>
        <w:t xml:space="preserve">43 hectares at </w:t>
      </w:r>
      <w:proofErr w:type="spellStart"/>
      <w:r w:rsidR="004E08BF">
        <w:rPr>
          <w:lang w:eastAsia="en-GB"/>
        </w:rPr>
        <w:t>Shalloch</w:t>
      </w:r>
      <w:proofErr w:type="spellEnd"/>
      <w:r w:rsidR="004E08BF">
        <w:rPr>
          <w:lang w:eastAsia="en-GB"/>
        </w:rPr>
        <w:t xml:space="preserve"> on </w:t>
      </w:r>
      <w:proofErr w:type="spellStart"/>
      <w:r w:rsidR="004E08BF">
        <w:rPr>
          <w:lang w:eastAsia="en-GB"/>
        </w:rPr>
        <w:t>Minnoch</w:t>
      </w:r>
      <w:proofErr w:type="spellEnd"/>
      <w:r w:rsidR="004E08BF">
        <w:rPr>
          <w:lang w:eastAsia="en-GB"/>
        </w:rPr>
        <w:t>;</w:t>
      </w:r>
    </w:p>
    <w:p w14:paraId="642BAAEC" w14:textId="77777777" w:rsidR="004E08BF" w:rsidRDefault="004E08BF" w:rsidP="004E08BF">
      <w:pPr>
        <w:pStyle w:val="FLSBody"/>
        <w:rPr>
          <w:lang w:eastAsia="en-GB"/>
        </w:rPr>
      </w:pPr>
      <w:r>
        <w:rPr>
          <w:lang w:eastAsia="en-GB"/>
        </w:rPr>
        <w:t xml:space="preserve">           10 hectares at </w:t>
      </w:r>
      <w:proofErr w:type="spellStart"/>
      <w:r>
        <w:rPr>
          <w:lang w:eastAsia="en-GB"/>
        </w:rPr>
        <w:t>Craigenrae</w:t>
      </w:r>
      <w:proofErr w:type="spellEnd"/>
      <w:r>
        <w:rPr>
          <w:lang w:eastAsia="en-GB"/>
        </w:rPr>
        <w:t>;</w:t>
      </w:r>
    </w:p>
    <w:p w14:paraId="7A491B10" w14:textId="77777777" w:rsidR="004E08BF" w:rsidRPr="00D872BF" w:rsidRDefault="004E08BF" w:rsidP="004E08BF">
      <w:pPr>
        <w:pStyle w:val="FLSBody"/>
        <w:rPr>
          <w:b/>
          <w:bCs/>
          <w:u w:val="single"/>
        </w:rPr>
      </w:pPr>
      <w:r>
        <w:rPr>
          <w:lang w:eastAsia="en-GB"/>
        </w:rPr>
        <w:t xml:space="preserve">           </w:t>
      </w:r>
      <w:r w:rsidRPr="00D872BF">
        <w:rPr>
          <w:b/>
          <w:bCs/>
          <w:u w:val="single"/>
          <w:lang w:eastAsia="en-GB"/>
        </w:rPr>
        <w:t>53 hectares total, as marked on the attached plan.</w:t>
      </w:r>
    </w:p>
    <w:p w14:paraId="131EE7FD" w14:textId="61A03444" w:rsidR="006E59FE" w:rsidRPr="00E17947" w:rsidRDefault="006E59FE" w:rsidP="00BB063D">
      <w:pPr>
        <w:pStyle w:val="FLSBody"/>
      </w:pPr>
    </w:p>
    <w:p w14:paraId="23B69C3E" w14:textId="1300944F" w:rsidR="006E59FE" w:rsidRPr="00E17947" w:rsidRDefault="006E59FE" w:rsidP="00BB063D">
      <w:pPr>
        <w:pStyle w:val="FLSBody"/>
      </w:pPr>
      <w:r w:rsidRPr="00147C4B">
        <w:rPr>
          <w:b/>
          <w:bCs/>
          <w:lang w:eastAsia="en-GB"/>
        </w:rPr>
        <w:t>Agreement:</w:t>
      </w:r>
      <w:r>
        <w:rPr>
          <w:lang w:eastAsia="en-GB"/>
        </w:rPr>
        <w:t xml:space="preserve"> </w:t>
      </w:r>
      <w:r w:rsidR="00B548B0">
        <w:rPr>
          <w:lang w:eastAsia="en-GB"/>
        </w:rPr>
        <w:t xml:space="preserve">Seasonal Grazing </w:t>
      </w:r>
      <w:proofErr w:type="spellStart"/>
      <w:r w:rsidR="00B548B0">
        <w:rPr>
          <w:lang w:eastAsia="en-GB"/>
        </w:rPr>
        <w:t>Licence</w:t>
      </w:r>
      <w:proofErr w:type="spellEnd"/>
    </w:p>
    <w:p w14:paraId="2F94CD5E" w14:textId="5D660492" w:rsidR="006E59FE" w:rsidRPr="00E17947" w:rsidRDefault="006E59FE" w:rsidP="00BB063D">
      <w:pPr>
        <w:pStyle w:val="FLSBody"/>
      </w:pPr>
      <w:r w:rsidRPr="00147C4B">
        <w:rPr>
          <w:b/>
          <w:bCs/>
          <w:lang w:eastAsia="en-GB"/>
        </w:rPr>
        <w:t>Entry:</w:t>
      </w:r>
      <w:r>
        <w:rPr>
          <w:lang w:eastAsia="en-GB"/>
        </w:rPr>
        <w:t xml:space="preserve"> </w:t>
      </w:r>
      <w:r w:rsidR="00B548B0">
        <w:t>15</w:t>
      </w:r>
      <w:r w:rsidR="00B548B0" w:rsidRPr="00B548B0">
        <w:rPr>
          <w:vertAlign w:val="superscript"/>
        </w:rPr>
        <w:t>th</w:t>
      </w:r>
      <w:r w:rsidR="00B548B0">
        <w:t xml:space="preserve"> April 2026.</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7A61FBBA" w14:textId="77777777" w:rsidR="00B548B0" w:rsidRDefault="00B548B0" w:rsidP="00B548B0">
      <w:pPr>
        <w:pStyle w:val="FLSBullets"/>
      </w:pPr>
      <w:r>
        <w:t>All grassland must remain as pasture, no reseeding by any means will be permitted;</w:t>
      </w:r>
    </w:p>
    <w:p w14:paraId="1C02F500" w14:textId="77777777" w:rsidR="00B548B0" w:rsidRPr="00825E47" w:rsidRDefault="00B548B0" w:rsidP="00B548B0">
      <w:pPr>
        <w:pStyle w:val="FLSBullets"/>
      </w:pPr>
      <w:r w:rsidRPr="00825E47">
        <w:t>No artificial fertilisers to be applied</w:t>
      </w:r>
      <w:r>
        <w:t>;</w:t>
      </w:r>
    </w:p>
    <w:p w14:paraId="387DC02A" w14:textId="77777777" w:rsidR="00B548B0" w:rsidRPr="00825E47" w:rsidRDefault="00B548B0" w:rsidP="00B548B0">
      <w:pPr>
        <w:pStyle w:val="FLSBullets"/>
      </w:pPr>
      <w:r w:rsidRPr="00825E47">
        <w:t>No organic manures to be imported from off the holding</w:t>
      </w:r>
      <w:r>
        <w:t>;</w:t>
      </w:r>
    </w:p>
    <w:p w14:paraId="4B41E9D1" w14:textId="77777777" w:rsidR="00B548B0" w:rsidRPr="006971BD" w:rsidRDefault="00B548B0" w:rsidP="00B548B0">
      <w:pPr>
        <w:pStyle w:val="FLSBullets"/>
      </w:pPr>
      <w:r w:rsidRPr="006971BD">
        <w:t>The grazing land will be used only for grazing of cattle</w:t>
      </w:r>
      <w:r>
        <w:t>;</w:t>
      </w:r>
    </w:p>
    <w:p w14:paraId="3AB3D99B" w14:textId="77777777" w:rsidR="00B548B0" w:rsidRDefault="00B548B0" w:rsidP="00B548B0">
      <w:pPr>
        <w:pStyle w:val="FLSBullets"/>
      </w:pPr>
      <w:r w:rsidRPr="00825E47">
        <w:t xml:space="preserve">Grazing will be at a maximum </w:t>
      </w:r>
      <w:r>
        <w:t>of</w:t>
      </w:r>
      <w:r w:rsidRPr="00825E47">
        <w:t xml:space="preserve"> </w:t>
      </w:r>
      <w:r>
        <w:t>0.4</w:t>
      </w:r>
      <w:r w:rsidRPr="00825E47">
        <w:t xml:space="preserve"> Livestock Units per Hectare</w:t>
      </w:r>
      <w:r>
        <w:t>, April to October;</w:t>
      </w:r>
    </w:p>
    <w:p w14:paraId="20AFF19E" w14:textId="77777777" w:rsidR="00B548B0" w:rsidRPr="00825E47" w:rsidRDefault="00B548B0" w:rsidP="00B548B0">
      <w:pPr>
        <w:pStyle w:val="FLSBullets"/>
      </w:pPr>
      <w:r w:rsidRPr="00825E47">
        <w:t xml:space="preserve">Review of stocking density </w:t>
      </w:r>
      <w:r>
        <w:t>may</w:t>
      </w:r>
      <w:r w:rsidRPr="00825E47">
        <w:t xml:space="preserve"> be required during the </w:t>
      </w:r>
      <w:r>
        <w:t>agreement</w:t>
      </w:r>
      <w:r w:rsidRPr="00825E47">
        <w:t xml:space="preserve"> to ensure environmental objectives are being met</w:t>
      </w:r>
      <w:r>
        <w:t>;</w:t>
      </w:r>
    </w:p>
    <w:p w14:paraId="14FB173A" w14:textId="1ABE37E1" w:rsidR="006E59FE" w:rsidRPr="00B548B0" w:rsidRDefault="00B548B0" w:rsidP="006E59FE">
      <w:pPr>
        <w:pStyle w:val="FLSBullets"/>
      </w:pPr>
      <w:r w:rsidRPr="006971BD">
        <w:t>Cutting, burning or any other mechanical intervention will not be permitted, unless authorised in advance in writing</w:t>
      </w:r>
      <w:r>
        <w:t>.</w:t>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w:t>
            </w:r>
            <w:proofErr w:type="spellStart"/>
            <w:r w:rsidRPr="00147C4B">
              <w:rPr>
                <w:sz w:val="22"/>
                <w:szCs w:val="20"/>
                <w:lang w:eastAsia="en-GB"/>
              </w:rPr>
              <w:t>5m</w:t>
            </w:r>
            <w:proofErr w:type="spellEnd"/>
            <w:r w:rsidRPr="00147C4B">
              <w:rPr>
                <w:sz w:val="22"/>
                <w:szCs w:val="20"/>
                <w:lang w:eastAsia="en-GB"/>
              </w:rPr>
              <w:t>)</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proofErr w:type="spellStart"/>
            <w:r w:rsidRPr="00147C4B">
              <w:rPr>
                <w:i/>
                <w:sz w:val="22"/>
                <w:szCs w:val="20"/>
                <w:lang w:eastAsia="en-GB"/>
              </w:rPr>
              <w:t>1.Answer</w:t>
            </w:r>
            <w:proofErr w:type="spellEnd"/>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7900C12B" w14:textId="77777777" w:rsidR="006E59FE" w:rsidRPr="00E17947" w:rsidRDefault="006E59FE" w:rsidP="00787217">
      <w:pPr>
        <w:pStyle w:val="FLSBody"/>
        <w:rPr>
          <w:lang w:eastAsia="en-GB"/>
        </w:rPr>
      </w:pPr>
    </w:p>
    <w:p w14:paraId="62A0D6ED" w14:textId="77777777" w:rsidR="00B548B0" w:rsidRPr="00E17947" w:rsidRDefault="006E59FE" w:rsidP="00B548B0">
      <w:pPr>
        <w:pStyle w:val="FLSBody"/>
        <w:rPr>
          <w:b/>
        </w:rPr>
      </w:pPr>
      <w:r>
        <w:rPr>
          <w:b/>
        </w:rPr>
        <w:t xml:space="preserve">Applications to be </w:t>
      </w:r>
      <w:r w:rsidR="00B548B0">
        <w:rPr>
          <w:b/>
        </w:rPr>
        <w:t>sent</w:t>
      </w:r>
      <w:r w:rsidRPr="000E283D">
        <w:rPr>
          <w:b/>
        </w:rPr>
        <w:t xml:space="preserve"> </w:t>
      </w:r>
      <w:r w:rsidRPr="00E17947">
        <w:rPr>
          <w:b/>
        </w:rPr>
        <w:t>to</w:t>
      </w:r>
      <w:r>
        <w:rPr>
          <w:b/>
        </w:rPr>
        <w:t xml:space="preserve">: </w:t>
      </w:r>
      <w:hyperlink r:id="rId13" w:history="1">
        <w:r w:rsidR="00B548B0" w:rsidRPr="000058BA">
          <w:rPr>
            <w:rStyle w:val="Hyperlink"/>
            <w:bCs/>
          </w:rPr>
          <w:t>aimee.mitchell@forestryandland.gov.scot</w:t>
        </w:r>
      </w:hyperlink>
      <w:r w:rsidR="00B548B0">
        <w:rPr>
          <w:bCs/>
        </w:rPr>
        <w:t xml:space="preserve"> </w:t>
      </w:r>
      <w:r w:rsidR="00B548B0">
        <w:rPr>
          <w:bCs/>
        </w:rPr>
        <w:t xml:space="preserve">or alternatively Forestry and Land Scotland, 55/57 Moffat Road, Dumfries, </w:t>
      </w:r>
      <w:proofErr w:type="spellStart"/>
      <w:r w:rsidR="00B548B0">
        <w:rPr>
          <w:bCs/>
        </w:rPr>
        <w:t>DG1</w:t>
      </w:r>
      <w:proofErr w:type="spellEnd"/>
      <w:r w:rsidR="00B548B0">
        <w:rPr>
          <w:bCs/>
        </w:rPr>
        <w:t xml:space="preserve"> </w:t>
      </w:r>
      <w:proofErr w:type="spellStart"/>
      <w:r w:rsidR="00B548B0">
        <w:rPr>
          <w:bCs/>
        </w:rPr>
        <w:t>1NP</w:t>
      </w:r>
      <w:proofErr w:type="spellEnd"/>
      <w:r w:rsidR="00B548B0">
        <w:rPr>
          <w:bCs/>
        </w:rPr>
        <w:t>.</w:t>
      </w:r>
    </w:p>
    <w:p w14:paraId="4F622035" w14:textId="77777777" w:rsidR="00B548B0" w:rsidRPr="00E17947" w:rsidRDefault="00B548B0" w:rsidP="00B548B0">
      <w:pPr>
        <w:pStyle w:val="FLSBody"/>
      </w:pPr>
    </w:p>
    <w:p w14:paraId="15B001F9" w14:textId="35C4EC91" w:rsidR="006E59FE" w:rsidRPr="009B7615" w:rsidRDefault="00B548B0" w:rsidP="00B548B0">
      <w:pPr>
        <w:pStyle w:val="FLSBody"/>
      </w:pPr>
      <w:r w:rsidRPr="00E17947">
        <w:t xml:space="preserve">Applications </w:t>
      </w:r>
      <w:r w:rsidRPr="00E17947">
        <w:rPr>
          <w:b/>
        </w:rPr>
        <w:t>to be received by 12 noon o</w:t>
      </w:r>
      <w:r>
        <w:rPr>
          <w:b/>
        </w:rPr>
        <w:t>n Friday 6</w:t>
      </w:r>
      <w:r w:rsidRPr="00EF1505">
        <w:rPr>
          <w:b/>
          <w:vertAlign w:val="superscript"/>
        </w:rPr>
        <w:t>th</w:t>
      </w:r>
      <w:r>
        <w:rPr>
          <w:b/>
        </w:rPr>
        <w:t xml:space="preserve"> March 2026</w:t>
      </w:r>
      <w:r w:rsidRPr="00E17947">
        <w:t xml:space="preserve"> and marked </w:t>
      </w:r>
      <w:r w:rsidRPr="00E17947">
        <w:rPr>
          <w:b/>
        </w:rPr>
        <w:t>“Application for</w:t>
      </w:r>
      <w:r>
        <w:rPr>
          <w:b/>
        </w:rPr>
        <w:t xml:space="preserve"> </w:t>
      </w:r>
      <w:proofErr w:type="spellStart"/>
      <w:r>
        <w:rPr>
          <w:b/>
        </w:rPr>
        <w:t>Shalloch</w:t>
      </w:r>
      <w:proofErr w:type="spellEnd"/>
      <w:r>
        <w:rPr>
          <w:b/>
        </w:rPr>
        <w:t xml:space="preserve"> on </w:t>
      </w:r>
      <w:proofErr w:type="spellStart"/>
      <w:r>
        <w:rPr>
          <w:b/>
        </w:rPr>
        <w:t>Minnoch</w:t>
      </w:r>
      <w:proofErr w:type="spellEnd"/>
      <w:r>
        <w:rPr>
          <w:b/>
        </w:rPr>
        <w:t xml:space="preserve"> and </w:t>
      </w:r>
      <w:proofErr w:type="spellStart"/>
      <w:r>
        <w:rPr>
          <w:b/>
        </w:rPr>
        <w:t>Craigenrae</w:t>
      </w:r>
      <w:proofErr w:type="spellEnd"/>
      <w:r>
        <w:rPr>
          <w:b/>
        </w:rPr>
        <w:t xml:space="preserve"> Agriculture</w:t>
      </w:r>
      <w:r w:rsidRPr="00E17947">
        <w:rPr>
          <w:b/>
        </w:rPr>
        <w:t xml:space="preserve"> Opportunity, not to be opened until 1 p.m. on</w:t>
      </w:r>
      <w:r>
        <w:rPr>
          <w:b/>
        </w:rPr>
        <w:t xml:space="preserve"> Friday 6</w:t>
      </w:r>
      <w:r w:rsidRPr="00EF1505">
        <w:rPr>
          <w:b/>
          <w:vertAlign w:val="superscript"/>
        </w:rPr>
        <w:t>th</w:t>
      </w:r>
      <w:r>
        <w:rPr>
          <w:b/>
        </w:rPr>
        <w:t xml:space="preserve"> March 2026</w:t>
      </w:r>
      <w:r w:rsidRPr="00787217">
        <w:rPr>
          <w:b/>
        </w:rPr>
        <w:t>”</w:t>
      </w:r>
      <w:r>
        <w:rPr>
          <w:b/>
        </w:rPr>
        <w:t>.</w:t>
      </w:r>
    </w:p>
    <w:p w14:paraId="02F47E84" w14:textId="77777777" w:rsidR="006E59FE" w:rsidRPr="00D038FB" w:rsidRDefault="006E59FE" w:rsidP="00F71E20">
      <w:pPr>
        <w:pStyle w:val="FLSBody"/>
      </w:pPr>
    </w:p>
    <w:sectPr w:rsidR="006E59FE" w:rsidRPr="00D038FB"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760EF"/>
    <w:rsid w:val="001A7C0F"/>
    <w:rsid w:val="001F2DCE"/>
    <w:rsid w:val="0020052E"/>
    <w:rsid w:val="00204906"/>
    <w:rsid w:val="002406AF"/>
    <w:rsid w:val="002A0BB8"/>
    <w:rsid w:val="002D17CD"/>
    <w:rsid w:val="002D572C"/>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E08BF"/>
    <w:rsid w:val="004F380D"/>
    <w:rsid w:val="004F38DE"/>
    <w:rsid w:val="0051308F"/>
    <w:rsid w:val="00515246"/>
    <w:rsid w:val="0053563D"/>
    <w:rsid w:val="00545187"/>
    <w:rsid w:val="00551974"/>
    <w:rsid w:val="00572FFF"/>
    <w:rsid w:val="00574ADA"/>
    <w:rsid w:val="00595E9D"/>
    <w:rsid w:val="005A3F17"/>
    <w:rsid w:val="00645688"/>
    <w:rsid w:val="00664672"/>
    <w:rsid w:val="006722CC"/>
    <w:rsid w:val="00682EE6"/>
    <w:rsid w:val="006E59FE"/>
    <w:rsid w:val="006E7376"/>
    <w:rsid w:val="006F472E"/>
    <w:rsid w:val="006F65BE"/>
    <w:rsid w:val="0074332A"/>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96645"/>
    <w:rsid w:val="00997ACD"/>
    <w:rsid w:val="009B49BC"/>
    <w:rsid w:val="00A00624"/>
    <w:rsid w:val="00A00653"/>
    <w:rsid w:val="00A1467D"/>
    <w:rsid w:val="00A25CAA"/>
    <w:rsid w:val="00A42849"/>
    <w:rsid w:val="00A93F56"/>
    <w:rsid w:val="00AC04DF"/>
    <w:rsid w:val="00AE61FF"/>
    <w:rsid w:val="00AF34F9"/>
    <w:rsid w:val="00B07461"/>
    <w:rsid w:val="00B3359E"/>
    <w:rsid w:val="00B341F7"/>
    <w:rsid w:val="00B42C07"/>
    <w:rsid w:val="00B430AC"/>
    <w:rsid w:val="00B548B0"/>
    <w:rsid w:val="00B71671"/>
    <w:rsid w:val="00BB063D"/>
    <w:rsid w:val="00BB26FF"/>
    <w:rsid w:val="00C111B8"/>
    <w:rsid w:val="00C444EF"/>
    <w:rsid w:val="00CC2000"/>
    <w:rsid w:val="00CE56C1"/>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C4D34"/>
    <w:rsid w:val="00EE7E31"/>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yperlink" Target="mailto:aimee.mitchell@forestryandland.gov.sco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orestryandland.gov.sco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1</TotalTime>
  <Pages>7</Pages>
  <Words>1625</Words>
  <Characters>8615</Characters>
  <Application>Microsoft Office Word</Application>
  <DocSecurity>0</DocSecurity>
  <Lines>319</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Stewart Hendry</cp:lastModifiedBy>
  <cp:revision>2</cp:revision>
  <cp:lastPrinted>2019-02-22T11:07:00Z</cp:lastPrinted>
  <dcterms:created xsi:type="dcterms:W3CDTF">2026-01-28T16:19:00Z</dcterms:created>
  <dcterms:modified xsi:type="dcterms:W3CDTF">2026-01-28T16:19:00Z</dcterms:modified>
</cp:coreProperties>
</file>